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64B" w:rsidRPr="00894A59" w:rsidRDefault="00EF669B" w:rsidP="006B04EC">
      <w:pPr>
        <w:suppressAutoHyphens w:val="0"/>
        <w:jc w:val="center"/>
        <w:rPr>
          <w:rFonts w:ascii="Arial" w:hAnsi="Arial" w:cs="Arial"/>
          <w:b/>
          <w:bCs/>
          <w:sz w:val="36"/>
          <w:szCs w:val="36"/>
        </w:rPr>
      </w:pPr>
      <w:r w:rsidRPr="00894A59">
        <w:rPr>
          <w:rFonts w:ascii="Arial" w:hAnsi="Arial" w:cs="Arial"/>
          <w:b/>
          <w:bCs/>
          <w:sz w:val="36"/>
          <w:szCs w:val="36"/>
        </w:rPr>
        <w:t xml:space="preserve">ANEXO </w:t>
      </w:r>
      <w:r w:rsidR="006B04EC">
        <w:rPr>
          <w:rFonts w:ascii="Arial" w:hAnsi="Arial" w:cs="Arial"/>
          <w:b/>
          <w:bCs/>
          <w:sz w:val="36"/>
          <w:szCs w:val="36"/>
        </w:rPr>
        <w:t>V- CRONOGRAMA</w:t>
      </w:r>
    </w:p>
    <w:tbl>
      <w:tblPr>
        <w:tblpPr w:leftFromText="141" w:rightFromText="141" w:vertAnchor="page" w:horzAnchor="margin" w:tblpY="27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7"/>
        <w:gridCol w:w="4827"/>
      </w:tblGrid>
      <w:tr w:rsidR="00894A59" w:rsidRPr="00CC3F20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/>
                <w:bCs/>
                <w:sz w:val="20"/>
                <w:szCs w:val="20"/>
              </w:rPr>
              <w:t>Etapa</w:t>
            </w:r>
          </w:p>
        </w:tc>
        <w:tc>
          <w:tcPr>
            <w:tcW w:w="4827" w:type="dxa"/>
          </w:tcPr>
          <w:p w:rsidR="00894A59" w:rsidRPr="008C33C2" w:rsidRDefault="00894A59" w:rsidP="006421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/>
                <w:bCs/>
                <w:sz w:val="20"/>
                <w:szCs w:val="20"/>
              </w:rPr>
              <w:t>Datas / Prazos – Ano de  201</w:t>
            </w:r>
            <w:r w:rsidR="00040FA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894A59" w:rsidRPr="00CC3F20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3B59A1" w:rsidRPr="008C33C2">
              <w:rPr>
                <w:rFonts w:ascii="Arial" w:hAnsi="Arial" w:cs="Arial"/>
                <w:bCs/>
                <w:sz w:val="20"/>
                <w:szCs w:val="20"/>
              </w:rPr>
              <w:t>eríodo de inscrição de projetos</w:t>
            </w:r>
          </w:p>
        </w:tc>
        <w:tc>
          <w:tcPr>
            <w:tcW w:w="4827" w:type="dxa"/>
            <w:vAlign w:val="center"/>
          </w:tcPr>
          <w:p w:rsidR="00894A59" w:rsidRPr="008C33C2" w:rsidRDefault="00F24B2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08</w:t>
            </w:r>
            <w:r w:rsidR="008C33C2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="008C33C2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446E7B" w:rsidRPr="008C33C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C33C2" w:rsidRPr="008C33C2"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22</w:t>
            </w:r>
            <w:r w:rsidR="008C33C2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02</w:t>
            </w:r>
            <w:r w:rsidR="00B50581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180DF3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Divulgação das propostas habilitadas e inabilitadas – etapa 01</w:t>
            </w:r>
          </w:p>
        </w:tc>
        <w:tc>
          <w:tcPr>
            <w:tcW w:w="4827" w:type="dxa"/>
            <w:vAlign w:val="center"/>
          </w:tcPr>
          <w:p w:rsidR="00894A59" w:rsidRPr="008C33C2" w:rsidRDefault="00F24B29" w:rsidP="00894A59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180DF3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Prazo de recursos do resultado da etapa 01</w:t>
            </w:r>
          </w:p>
        </w:tc>
        <w:tc>
          <w:tcPr>
            <w:tcW w:w="4827" w:type="dxa"/>
            <w:vAlign w:val="center"/>
          </w:tcPr>
          <w:p w:rsidR="00894A59" w:rsidRPr="008C33C2" w:rsidRDefault="00F24B29" w:rsidP="00894A59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06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180DF3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Divulgação das propostas habilitadas após análise dos pedidos de recurso – etapa </w:t>
            </w:r>
            <w:r w:rsidR="00242661" w:rsidRPr="008C33C2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827" w:type="dxa"/>
            <w:vAlign w:val="center"/>
          </w:tcPr>
          <w:p w:rsidR="00894A59" w:rsidRPr="008C33C2" w:rsidRDefault="0027495E" w:rsidP="00B50581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03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CC3F20" w:rsidTr="00894A59">
        <w:tc>
          <w:tcPr>
            <w:tcW w:w="3667" w:type="dxa"/>
          </w:tcPr>
          <w:p w:rsidR="00894A59" w:rsidRPr="008C33C2" w:rsidRDefault="00894A59" w:rsidP="002D7C9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Período da Avaliação dos projetos – etapa </w:t>
            </w:r>
            <w:r w:rsidR="002D7C98" w:rsidRPr="008C33C2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4827" w:type="dxa"/>
            <w:vAlign w:val="center"/>
          </w:tcPr>
          <w:p w:rsidR="00894A59" w:rsidRPr="008C33C2" w:rsidRDefault="00F24B2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7495E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27495E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r w:rsidR="0027495E"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27495E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CC3F20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Divulgação da lista com as propostas classificadas e não classificadas da etapa </w:t>
            </w:r>
            <w:r w:rsidR="00242661" w:rsidRPr="008C33C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4827" w:type="dxa"/>
            <w:vAlign w:val="center"/>
          </w:tcPr>
          <w:p w:rsidR="00894A59" w:rsidRPr="008C33C2" w:rsidRDefault="0027495E" w:rsidP="00B5058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CC3F20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Prazo de recursos do resultado da etapa 0</w:t>
            </w:r>
            <w:r w:rsidR="00242661" w:rsidRPr="008C33C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827" w:type="dxa"/>
            <w:vAlign w:val="center"/>
          </w:tcPr>
          <w:p w:rsidR="00894A59" w:rsidRPr="008C33C2" w:rsidRDefault="0027495E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02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04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06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04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CC3F20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59" w:rsidRPr="008C33C2" w:rsidRDefault="00D51BB8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Análise dos recursos da etapa 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8C33C2" w:rsidRDefault="0027495E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09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04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04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D30ACD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Homologação e divulgação do resultado final no Diário Oficial das propostas aprovadas </w:t>
            </w:r>
            <w:r w:rsidR="003B59A1" w:rsidRPr="008C33C2">
              <w:rPr>
                <w:rFonts w:ascii="Arial" w:hAnsi="Arial" w:cs="Arial"/>
                <w:bCs/>
                <w:sz w:val="20"/>
                <w:szCs w:val="20"/>
              </w:rPr>
              <w:t xml:space="preserve">pelo 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Fundo de Arte e Cultura de Goiás.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8C33C2" w:rsidRDefault="0027495E" w:rsidP="00B5058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</w:t>
            </w:r>
            <w:r w:rsidR="008C33C2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8C33C2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D30ACD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Prazo para entrega da documentação do proponente.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8C33C2" w:rsidRDefault="0027495E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C91768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bookmarkStart w:id="0" w:name="_GoBack"/>
            <w:bookmarkEnd w:id="0"/>
            <w:r w:rsidR="00C9176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D30ACD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705A3F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05A3F">
              <w:rPr>
                <w:rFonts w:ascii="Arial" w:hAnsi="Arial" w:cs="Arial"/>
                <w:bCs/>
                <w:sz w:val="20"/>
                <w:szCs w:val="20"/>
              </w:rPr>
              <w:t>Depósito dos recursos na conta-corrente do proponente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68446D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446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De acordo com a disponibilidade orçamentária</w:t>
            </w:r>
          </w:p>
        </w:tc>
      </w:tr>
      <w:tr w:rsidR="00894A59" w:rsidRPr="00D30ACD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705A3F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Apresentação do Relatório de Execução do Projeto para a  SEDUCE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68446D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446D">
              <w:rPr>
                <w:rFonts w:ascii="Arial" w:hAnsi="Arial" w:cs="Arial"/>
                <w:bCs/>
                <w:sz w:val="20"/>
                <w:szCs w:val="20"/>
              </w:rPr>
              <w:t>30 dias após o término do prazo de execução do projeto cultural</w:t>
            </w:r>
          </w:p>
        </w:tc>
      </w:tr>
    </w:tbl>
    <w:p w:rsidR="00EF669B" w:rsidRPr="009549D5" w:rsidRDefault="00EF669B" w:rsidP="00EF669B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EF669B" w:rsidRDefault="00EF669B"/>
    <w:sectPr w:rsidR="00EF669B" w:rsidSect="00BD1056">
      <w:headerReference w:type="default" r:id="rId7"/>
      <w:footerReference w:type="default" r:id="rId8"/>
      <w:pgSz w:w="11906" w:h="16838"/>
      <w:pgMar w:top="1417" w:right="1701" w:bottom="1417" w:left="170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D1A" w:rsidRDefault="006F0D1A" w:rsidP="00894A59">
      <w:pPr>
        <w:spacing w:after="0" w:line="240" w:lineRule="auto"/>
      </w:pPr>
      <w:r>
        <w:separator/>
      </w:r>
    </w:p>
  </w:endnote>
  <w:endnote w:type="continuationSeparator" w:id="0">
    <w:p w:rsidR="006F0D1A" w:rsidRDefault="006F0D1A" w:rsidP="0089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4EC" w:rsidRPr="00FC6E6F" w:rsidRDefault="006B04EC" w:rsidP="006B04EC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18"/>
        <w:szCs w:val="18"/>
      </w:rPr>
    </w:pPr>
    <w:r w:rsidRPr="00FC6E6F">
      <w:rPr>
        <w:rFonts w:ascii="Times New Roman" w:hAnsi="Times New Roman"/>
        <w:sz w:val="18"/>
        <w:szCs w:val="18"/>
      </w:rPr>
      <w:t>Secretaria de Estado de Educação, Cultura e Esporte</w:t>
    </w:r>
  </w:p>
  <w:p w:rsidR="006B04EC" w:rsidRPr="00FC6E6F" w:rsidRDefault="006B04EC" w:rsidP="006B04EC">
    <w:pPr>
      <w:pStyle w:val="Rodap"/>
      <w:jc w:val="center"/>
      <w:rPr>
        <w:rFonts w:ascii="Times New Roman" w:hAnsi="Times New Roman"/>
        <w:sz w:val="18"/>
        <w:szCs w:val="18"/>
      </w:rPr>
    </w:pPr>
    <w:r w:rsidRPr="00FC6E6F">
      <w:rPr>
        <w:rFonts w:ascii="Times New Roman" w:hAnsi="Times New Roman"/>
        <w:sz w:val="18"/>
        <w:szCs w:val="18"/>
      </w:rPr>
      <w:t>Av. Anhanguera, nº 7.171, Setor Oeste – CEP: 74.110-010 – Goiânia – Goiás</w:t>
    </w:r>
  </w:p>
  <w:p w:rsidR="006B04EC" w:rsidRPr="00FC6E6F" w:rsidRDefault="006B04EC" w:rsidP="006B04EC">
    <w:pPr>
      <w:pStyle w:val="Rodap"/>
      <w:jc w:val="center"/>
      <w:rPr>
        <w:rFonts w:ascii="Times New Roman" w:hAnsi="Times New Roman"/>
        <w:sz w:val="18"/>
        <w:szCs w:val="18"/>
      </w:rPr>
    </w:pPr>
    <w:r w:rsidRPr="00FC6E6F">
      <w:rPr>
        <w:rFonts w:ascii="Times New Roman" w:hAnsi="Times New Roman"/>
        <w:sz w:val="18"/>
        <w:szCs w:val="18"/>
      </w:rPr>
      <w:t xml:space="preserve">Telefone: (062) 3201-3017 / 3054 / E-mail: </w:t>
    </w:r>
    <w:hyperlink r:id="rId1" w:history="1">
      <w:r w:rsidRPr="007E5900">
        <w:rPr>
          <w:rStyle w:val="Hyperlink"/>
          <w:rFonts w:ascii="Times New Roman" w:hAnsi="Times New Roman"/>
          <w:sz w:val="18"/>
          <w:szCs w:val="18"/>
        </w:rPr>
        <w:t>licitacao@seduc.go.gov.br</w:t>
      </w:r>
    </w:hyperlink>
    <w:r w:rsidRPr="00FC6E6F">
      <w:rPr>
        <w:rFonts w:ascii="Times New Roman" w:hAnsi="Times New Roman"/>
        <w:sz w:val="18"/>
        <w:szCs w:val="18"/>
      </w:rPr>
      <w:t xml:space="preserve"> </w:t>
    </w:r>
  </w:p>
  <w:p w:rsidR="006B04EC" w:rsidRDefault="006B04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D1A" w:rsidRDefault="006F0D1A" w:rsidP="00894A59">
      <w:pPr>
        <w:spacing w:after="0" w:line="240" w:lineRule="auto"/>
      </w:pPr>
      <w:r>
        <w:separator/>
      </w:r>
    </w:p>
  </w:footnote>
  <w:footnote w:type="continuationSeparator" w:id="0">
    <w:p w:rsidR="006F0D1A" w:rsidRDefault="006F0D1A" w:rsidP="0089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4EC" w:rsidRDefault="009E25D9" w:rsidP="006B04EC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067050" cy="6096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1056" w:rsidRPr="00BD1056">
      <w:rPr>
        <w:noProof/>
        <w:lang w:eastAsia="pt-BR"/>
      </w:rPr>
      <w:drawing>
        <wp:inline distT="0" distB="0" distL="0" distR="0">
          <wp:extent cx="979805" cy="932815"/>
          <wp:effectExtent l="38100" t="38100" r="29845" b="635"/>
          <wp:docPr id="20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89632">
                    <a:off x="0" y="0"/>
                    <a:ext cx="97980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4A59" w:rsidRDefault="00894A59" w:rsidP="00894A59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D46E0"/>
    <w:multiLevelType w:val="hybridMultilevel"/>
    <w:tmpl w:val="6E32CD90"/>
    <w:lvl w:ilvl="0" w:tplc="7C58D5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69B"/>
    <w:rsid w:val="00040FA6"/>
    <w:rsid w:val="0016264B"/>
    <w:rsid w:val="00164C79"/>
    <w:rsid w:val="001C314B"/>
    <w:rsid w:val="00225540"/>
    <w:rsid w:val="00242661"/>
    <w:rsid w:val="002570D9"/>
    <w:rsid w:val="0027495E"/>
    <w:rsid w:val="002D7C98"/>
    <w:rsid w:val="003836D7"/>
    <w:rsid w:val="003B59A1"/>
    <w:rsid w:val="00446E7B"/>
    <w:rsid w:val="004829DB"/>
    <w:rsid w:val="004B7743"/>
    <w:rsid w:val="006253BC"/>
    <w:rsid w:val="006421AF"/>
    <w:rsid w:val="0068446D"/>
    <w:rsid w:val="006B04EC"/>
    <w:rsid w:val="006F0D1A"/>
    <w:rsid w:val="007063B6"/>
    <w:rsid w:val="0080082D"/>
    <w:rsid w:val="00894A59"/>
    <w:rsid w:val="008C33C2"/>
    <w:rsid w:val="00927C7A"/>
    <w:rsid w:val="009E25D9"/>
    <w:rsid w:val="00A65D56"/>
    <w:rsid w:val="00A77E47"/>
    <w:rsid w:val="00B50581"/>
    <w:rsid w:val="00BD1056"/>
    <w:rsid w:val="00C91768"/>
    <w:rsid w:val="00D50310"/>
    <w:rsid w:val="00D51BB8"/>
    <w:rsid w:val="00D622E3"/>
    <w:rsid w:val="00DA039D"/>
    <w:rsid w:val="00DB1275"/>
    <w:rsid w:val="00DD42C6"/>
    <w:rsid w:val="00E6566D"/>
    <w:rsid w:val="00E91904"/>
    <w:rsid w:val="00EF669B"/>
    <w:rsid w:val="00F2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AEB8"/>
  <w15:docId w15:val="{7014A2C6-D872-4162-BBC7-2D764033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69B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F6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4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C79"/>
    <w:rPr>
      <w:rFonts w:ascii="Segoe UI" w:eastAsia="Times New Roman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94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4A59"/>
    <w:rPr>
      <w:rFonts w:ascii="Calibri" w:eastAsia="Times New Roman" w:hAnsi="Calibri" w:cs="Calibri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94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4A59"/>
    <w:rPr>
      <w:rFonts w:ascii="Calibri" w:eastAsia="Times New Roman" w:hAnsi="Calibri" w:cs="Calibri"/>
      <w:lang w:eastAsia="ar-SA"/>
    </w:rPr>
  </w:style>
  <w:style w:type="character" w:styleId="Hyperlink">
    <w:name w:val="Hyperlink"/>
    <w:basedOn w:val="Fontepargpadro"/>
    <w:uiPriority w:val="99"/>
    <w:rsid w:val="006B04E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B5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seduc.g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user012</dc:creator>
  <cp:keywords/>
  <dc:description/>
  <cp:lastModifiedBy>Acompanhamento  FAC</cp:lastModifiedBy>
  <cp:revision>7</cp:revision>
  <cp:lastPrinted>2016-09-22T12:28:00Z</cp:lastPrinted>
  <dcterms:created xsi:type="dcterms:W3CDTF">2017-12-18T18:30:00Z</dcterms:created>
  <dcterms:modified xsi:type="dcterms:W3CDTF">2018-01-02T12:04:00Z</dcterms:modified>
</cp:coreProperties>
</file>